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  <w:sz w:val="30"/>
        </w:rPr>
        <w:t>Оценка эффективности реализации государственной программы Камчатского края «</w:t>
      </w:r>
      <w:r>
        <w:rPr>
          <w:rFonts w:ascii="Times New Roman" w:hAnsi="Times New Roman"/>
          <w:b w:val="1"/>
        </w:rPr>
        <w:t>Социальное и экономическое развитие территории с особым статусом «Корякский округ» в 2023 году</w:t>
      </w:r>
    </w:p>
    <w:p w14:paraId="03000000">
      <w:pPr>
        <w:tabs>
          <w:tab w:leader="none" w:pos="1134" w:val="left"/>
        </w:tabs>
        <w:ind w:firstLine="709" w:left="0"/>
        <w:jc w:val="both"/>
        <w:rPr>
          <w:rFonts w:ascii="Times New Roman" w:hAnsi="Times New Roman"/>
        </w:rPr>
      </w:pPr>
    </w:p>
    <w:p w14:paraId="04000000">
      <w:pPr>
        <w:tabs>
          <w:tab w:leader="none" w:pos="1134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соответствии с приказом Министерства экономического развития Камчатского края от 13.02.2023 № 6-Н «Об утверждении методических указаний по разработке и реализации государственных программ Камчатского края» разработаны единые требования, предъявляемые к оценке эффективности реализации государственных программ Камчатского края (далее – оценка эффективности Программы). </w:t>
      </w:r>
    </w:p>
    <w:p w14:paraId="05000000">
      <w:pPr>
        <w:tabs>
          <w:tab w:leader="none" w:pos="1134" w:val="left"/>
        </w:tabs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эффективности Программы производится с учетом следующих составляющих:</w:t>
      </w:r>
    </w:p>
    <w:p w14:paraId="06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 достижения целей и решения задач государственной программы;</w:t>
      </w:r>
    </w:p>
    <w:p w14:paraId="07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</w:t>
      </w:r>
      <w:r>
        <w:rPr>
          <w:rFonts w:ascii="Times New Roman" w:hAnsi="Times New Roman"/>
        </w:rPr>
        <w:t xml:space="preserve"> соответствия запланированному уровню затрат;</w:t>
      </w:r>
    </w:p>
    <w:p w14:paraId="08000000">
      <w:pPr>
        <w:numPr>
          <w:numId w:val="1"/>
        </w:numPr>
        <w:tabs>
          <w:tab w:leader="none" w:pos="1134" w:val="left"/>
        </w:tabs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оценки степени реализации контрольных событий плана реализации государственной программы.</w:t>
      </w:r>
    </w:p>
    <w:p w14:paraId="09000000">
      <w:pPr>
        <w:tabs>
          <w:tab w:leader="none" w:pos="1134" w:val="left"/>
        </w:tabs>
        <w:ind/>
        <w:jc w:val="both"/>
        <w:rPr>
          <w:rFonts w:ascii="Times New Roman" w:hAnsi="Times New Roman"/>
        </w:rPr>
      </w:pPr>
    </w:p>
    <w:p w14:paraId="0A000000">
      <w:pPr>
        <w:tabs>
          <w:tab w:leader="none" w:pos="1134" w:val="left"/>
        </w:tabs>
        <w:ind w:firstLine="709"/>
        <w:jc w:val="both"/>
        <w:rPr>
          <w:rFonts w:ascii="Times New Roman" w:hAnsi="Times New Roman"/>
          <w:b w:val="0"/>
          <w:i w:val="1"/>
        </w:rPr>
      </w:pPr>
      <w:r>
        <w:rPr>
          <w:rFonts w:ascii="Times New Roman" w:hAnsi="Times New Roman"/>
          <w:b w:val="0"/>
          <w:i w:val="1"/>
        </w:rPr>
        <w:t xml:space="preserve">Оценка степени достижения целей и решения задач государственной программы. </w:t>
      </w:r>
    </w:p>
    <w:p w14:paraId="0B000000">
      <w:pPr>
        <w:tabs>
          <w:tab w:leader="none" w:pos="1134" w:val="left"/>
        </w:tabs>
        <w:ind w:firstLine="709"/>
        <w:jc w:val="both"/>
        <w:rPr>
          <w:rFonts w:ascii="Times New Roman" w:hAnsi="Times New Roman"/>
          <w:b w:val="0"/>
          <w:i w:val="1"/>
        </w:rPr>
      </w:pPr>
      <w:r>
        <w:rPr>
          <w:rFonts w:ascii="Times New Roman" w:hAnsi="Times New Roman"/>
        </w:rPr>
        <w:t>Для оценки степени достижения целей и решения задач государственной программы определяе</w:t>
      </w:r>
      <w:r>
        <w:rPr>
          <w:rFonts w:ascii="Times New Roman" w:hAnsi="Times New Roman"/>
          <w:b w:val="0"/>
        </w:rPr>
        <w:t>тся степень достижения плановых значений каждого показателя (индикатор</w:t>
      </w:r>
      <w:r>
        <w:rPr>
          <w:rFonts w:ascii="Times New Roman" w:hAnsi="Times New Roman"/>
        </w:rPr>
        <w:t>а) отраслевых государственных п</w:t>
      </w:r>
      <w:r>
        <w:rPr>
          <w:rFonts w:ascii="Times New Roman" w:hAnsi="Times New Roman"/>
        </w:rPr>
        <w:t>рограмм Камчатского края</w:t>
      </w:r>
      <w:r>
        <w:rPr>
          <w:rFonts w:ascii="Times New Roman" w:hAnsi="Times New Roman"/>
          <w:b w:val="0"/>
        </w:rPr>
        <w:t xml:space="preserve">, оказывающих влияние на государственную программу Камчатского края </w:t>
      </w:r>
      <w:r>
        <w:rPr>
          <w:rFonts w:ascii="Times New Roman" w:hAnsi="Times New Roman"/>
          <w:b w:val="0"/>
          <w:sz w:val="30"/>
        </w:rPr>
        <w:t>«</w:t>
      </w:r>
      <w:r>
        <w:rPr>
          <w:rFonts w:ascii="Times New Roman" w:hAnsi="Times New Roman"/>
          <w:b w:val="0"/>
        </w:rPr>
        <w:t xml:space="preserve">Социальное и экономическое развитие территории с особым статусом «Корякский округ» (далее – Программа). </w:t>
      </w:r>
      <w:r>
        <w:rPr>
          <w:rFonts w:ascii="Times New Roman" w:hAnsi="Times New Roman"/>
          <w:b w:val="0"/>
          <w:sz w:val="28"/>
        </w:rPr>
        <w:t>Показатели (индикаторы) государственных программ Камчатского края отраслевых исполнительных органов Камчатского края учитывают значения в целом по Камчатскому краю, в том числе по Корякскому округу.</w:t>
      </w:r>
    </w:p>
    <w:p w14:paraId="0C000000">
      <w:pPr>
        <w:numPr>
          <w:numId w:val="2"/>
        </w:numPr>
        <w:spacing w:before="113" w:line="240" w:lineRule="auto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показателей (индикаторов), желаемой тенденцией развития которых является увеличение значений:</w:t>
      </w:r>
    </w:p>
    <w:p w14:paraId="0D000000">
      <w:pPr>
        <w:spacing w:before="113" w:line="240" w:lineRule="auto"/>
        <w:ind w:firstLine="0" w:left="0"/>
        <w:jc w:val="center"/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  <w:sz w:val="24"/>
            </w:rPr>
            <m:rPr>
              <m:sty m:val="p"/>
            </m:rPr>
            <m:t>С</m:t>
          </m:r>
          <m:r>
            <w:rPr>
              <w:rFonts w:ascii="Cambria Math" w:hAnsi="Cambria Math"/>
              <w:sz w:val="24"/>
            </w:rPr>
            <m:rPr>
              <m:sty m:val="p"/>
            </m:rPr>
            <m:t>Д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ф</m:t>
          </m:r>
          <m:r>
            <w:rPr>
              <w:rFonts w:ascii="Cambria Math" w:hAnsi="Cambria Math"/>
              <w:sz w:val="24"/>
            </w:rPr>
            <m:t>/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</m:oMath>
      </m:oMathPara>
    </w:p>
    <w:p w14:paraId="0E000000">
      <w:pPr>
        <w:numPr>
          <w:numId w:val="3"/>
        </w:numPr>
        <w:spacing w:before="113" w:line="240" w:lineRule="auto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показателей (индикаторов), желаемой тенденцией развития которых является снижение значений:</w:t>
      </w:r>
    </w:p>
    <w:p w14:paraId="0F000000">
      <w:pPr>
        <w:spacing w:before="113" w:line="240" w:lineRule="auto"/>
        <w:ind w:firstLine="0" w:left="0"/>
        <w:jc w:val="center"/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  <w:sz w:val="24"/>
            </w:rPr>
            <m:rPr>
              <m:sty m:val="p"/>
            </m:rPr>
            <m:t>С</m:t>
          </m:r>
          <m:r>
            <w:rPr>
              <w:rFonts w:ascii="Cambria Math" w:hAnsi="Cambria Math"/>
              <w:sz w:val="24"/>
            </w:rPr>
            <m:rPr>
              <m:sty m:val="p"/>
            </m:rPr>
            <m:t>Д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t>/</m:t>
          </m:r>
          <m:r>
            <w:rPr>
              <w:rFonts w:ascii="Cambria Math" w:hAnsi="Cambria Math"/>
              <w:sz w:val="24"/>
            </w:rPr>
            <m:rPr>
              <m:sty m:val="p"/>
            </m:rPr>
            <m:t>З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г</m:t>
          </m:r>
          <m:r>
            <w:rPr>
              <w:rFonts w:ascii="Cambria Math" w:hAnsi="Cambria Math"/>
              <w:sz w:val="24"/>
            </w:rPr>
            <m:rPr>
              <m:sty m:val="p"/>
            </m:rPr>
            <m:t>п</m:t>
          </m:r>
          <m:r>
            <w:rPr>
              <w:rFonts w:ascii="Cambria Math" w:hAnsi="Cambria Math"/>
              <w:sz w:val="24"/>
            </w:rPr>
            <m:rPr>
              <m:sty m:val="p"/>
            </m:rPr>
            <m:t>ф</m:t>
          </m:r>
        </m:oMath>
      </m:oMathPara>
    </w:p>
    <w:p w14:paraId="10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11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СД</w:t>
      </w:r>
      <w:r>
        <w:rPr>
          <w:rFonts w:ascii="Times New Roman" w:hAnsi="Times New Roman"/>
          <w:sz w:val="22"/>
        </w:rPr>
        <w:t>гппз</w:t>
      </w:r>
      <w:r>
        <w:rPr>
          <w:rFonts w:ascii="Times New Roman" w:hAnsi="Times New Roman"/>
        </w:rPr>
        <w:t xml:space="preserve"> - степень достижения планового значения показателя (индикатора) государственной программы;</w:t>
      </w:r>
    </w:p>
    <w:p w14:paraId="12000000">
      <w:pPr>
        <w:spacing w:before="113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ЗП</w:t>
      </w:r>
      <w:r>
        <w:rPr>
          <w:rFonts w:ascii="Times New Roman" w:hAnsi="Times New Roman"/>
          <w:sz w:val="22"/>
        </w:rPr>
        <w:t>гпф</w:t>
      </w:r>
      <w:r>
        <w:rPr>
          <w:rFonts w:ascii="Times New Roman" w:hAnsi="Times New Roman"/>
        </w:rPr>
        <w:t xml:space="preserve"> - значение показателя (индикатора), фактически достигнутое на конец отчетного периода;</w:t>
      </w:r>
    </w:p>
    <w:p w14:paraId="13000000">
      <w:pPr>
        <w:spacing w:before="170" w:line="240" w:lineRule="auto"/>
        <w:ind w:firstLine="54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ЗП</w:t>
      </w:r>
      <w:r>
        <w:rPr>
          <w:rFonts w:ascii="Times New Roman" w:hAnsi="Times New Roman"/>
          <w:sz w:val="22"/>
        </w:rPr>
        <w:t>гпп</w:t>
      </w:r>
      <w:r>
        <w:rPr>
          <w:rFonts w:ascii="Times New Roman" w:hAnsi="Times New Roman"/>
        </w:rPr>
        <w:t xml:space="preserve"> - плановое значение показателя (индикатора</w:t>
      </w:r>
      <w:r>
        <w:rPr>
          <w:rFonts w:ascii="Times New Roman" w:hAnsi="Times New Roman"/>
        </w:rPr>
        <w:t>) государственной программы</w:t>
      </w:r>
      <w:r>
        <w:rPr>
          <w:rFonts w:ascii="Times New Roman" w:hAnsi="Times New Roman"/>
        </w:rPr>
        <w:t>.</w:t>
      </w:r>
    </w:p>
    <w:p w14:paraId="14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  <w:vertAlign w:val="subscript"/>
        </w:rPr>
      </w:pPr>
      <w:r>
        <w:rPr>
          <w:rFonts w:ascii="Times New Roman" w:hAnsi="Times New Roman"/>
          <w:b w:val="0"/>
          <w:sz w:val="28"/>
        </w:rPr>
        <w:t xml:space="preserve">В случае если </w:t>
      </w:r>
      <w:r>
        <w:rPr>
          <w:rFonts w:ascii="Times New Roman" w:hAnsi="Times New Roman"/>
        </w:rPr>
        <w:t>СД</w:t>
      </w:r>
      <w:r>
        <w:rPr>
          <w:rFonts w:ascii="Times New Roman" w:hAnsi="Times New Roman"/>
          <w:b w:val="0"/>
          <w:sz w:val="22"/>
        </w:rPr>
        <w:t xml:space="preserve">гппз </w:t>
      </w:r>
      <w:r>
        <w:rPr>
          <w:rFonts w:ascii="Times New Roman" w:hAnsi="Times New Roman"/>
          <w:b w:val="0"/>
          <w:sz w:val="28"/>
        </w:rPr>
        <w:t xml:space="preserve">больше 1, значение </w:t>
      </w:r>
      <w:r>
        <w:rPr>
          <w:rFonts w:ascii="Times New Roman" w:hAnsi="Times New Roman"/>
        </w:rPr>
        <w:t>СД</w:t>
      </w:r>
      <w:r>
        <w:rPr>
          <w:rFonts w:ascii="Times New Roman" w:hAnsi="Times New Roman"/>
          <w:b w:val="0"/>
          <w:sz w:val="22"/>
        </w:rPr>
        <w:t xml:space="preserve">гппз </w:t>
      </w:r>
      <w:r>
        <w:rPr>
          <w:rFonts w:ascii="Times New Roman" w:hAnsi="Times New Roman"/>
          <w:b w:val="0"/>
          <w:sz w:val="28"/>
        </w:rPr>
        <w:t>принимается равным 1.</w:t>
      </w:r>
    </w:p>
    <w:p w14:paraId="15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Степень реализации государственной программы рассчитывается по формуле:</w:t>
      </w:r>
    </w:p>
    <w:p w14:paraId="1600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drawing>
          <wp:inline>
            <wp:extent cx="4562474" cy="6096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4562474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7000000">
      <w:pPr>
        <w:rPr>
          <w:rFonts w:ascii="Times New Roman" w:hAnsi="Times New Roman"/>
        </w:rPr>
      </w:pPr>
    </w:p>
    <w:p w14:paraId="18000000">
      <w:pPr>
        <w:ind w:firstLine="142" w:left="567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24"/>
        </w:rPr>
        <w:t>гп</w:t>
      </w:r>
      <w:r>
        <w:rPr>
          <w:rFonts w:ascii="Times New Roman" w:hAnsi="Times New Roman"/>
        </w:rPr>
        <w:t xml:space="preserve"> – степень реализации Программы;</w:t>
      </w:r>
    </w:p>
    <w:p w14:paraId="1900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СД</w:t>
      </w:r>
      <w:r>
        <w:rPr>
          <w:rFonts w:ascii="Times New Roman" w:hAnsi="Times New Roman"/>
          <w:sz w:val="24"/>
        </w:rPr>
        <w:t>гппз</w:t>
      </w:r>
      <w:r>
        <w:rPr>
          <w:rFonts w:ascii="Times New Roman" w:hAnsi="Times New Roman"/>
        </w:rPr>
        <w:t xml:space="preserve"> – степень достижения планового значения показателя (индикатора) государственной программы;</w:t>
      </w:r>
    </w:p>
    <w:p w14:paraId="1A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М – число показателей (индикаторов) государственной программы.</w:t>
      </w:r>
    </w:p>
    <w:p w14:paraId="1B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i w:val="0"/>
        </w:rPr>
        <w:t xml:space="preserve">Показатели (индикаторы) Программы </w:t>
      </w:r>
      <w:r>
        <w:rPr>
          <w:rFonts w:ascii="Times New Roman" w:hAnsi="Times New Roman"/>
        </w:rPr>
        <w:t>(подпрограмма 3 Министерства строительства и жилищной политики Камчатского края «</w:t>
      </w:r>
      <w:r>
        <w:rPr>
          <w:rFonts w:ascii="Times New Roman" w:hAnsi="Times New Roman"/>
        </w:rPr>
        <w:t>Обеспечение доступным и комфортным жильем и коммунальными услугами населения Корякского округа</w:t>
      </w:r>
      <w:r>
        <w:rPr>
          <w:rFonts w:ascii="Times New Roman" w:hAnsi="Times New Roman"/>
          <w:b w:val="0"/>
          <w:sz w:val="28"/>
        </w:rPr>
        <w:t>»)</w:t>
      </w:r>
      <w:r>
        <w:rPr>
          <w:rFonts w:ascii="Times New Roman" w:hAnsi="Times New Roman"/>
          <w:b w:val="0"/>
          <w:sz w:val="28"/>
        </w:rPr>
        <w:t>:</w:t>
      </w:r>
    </w:p>
    <w:p w14:paraId="1C000000">
      <w:pPr>
        <w:numPr>
          <w:numId w:val="4"/>
        </w:numPr>
        <w:spacing w:after="120"/>
        <w:ind w:firstLine="425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показатель (индикатор) «</w:t>
      </w:r>
      <w:r>
        <w:rPr>
          <w:rFonts w:ascii="Times New Roman" w:hAnsi="Times New Roman"/>
        </w:rPr>
        <w:t>Площадь построенного стандартного жилья»;</w:t>
      </w:r>
    </w:p>
    <w:p w14:paraId="1D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СД</w:t>
      </w:r>
      <w:r>
        <w:rPr>
          <w:rFonts w:ascii="Times New Roman" w:hAnsi="Times New Roman"/>
          <w:b w:val="0"/>
          <w:sz w:val="22"/>
        </w:rPr>
        <w:t>гппз</w:t>
      </w:r>
      <w:r>
        <w:rPr>
          <w:rFonts w:ascii="Times New Roman" w:hAnsi="Times New Roman"/>
          <w:b w:val="0"/>
          <w:sz w:val="28"/>
        </w:rPr>
        <w:t xml:space="preserve"> = 1069,7 / 360,8 = 2,96</w:t>
      </w:r>
    </w:p>
    <w:p w14:paraId="1E000000">
      <w:pPr>
        <w:numPr>
          <w:numId w:val="5"/>
        </w:numPr>
        <w:spacing w:after="120"/>
        <w:ind w:firstLine="425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показатель (индикатор) «</w:t>
      </w:r>
      <w:r>
        <w:rPr>
          <w:rFonts w:ascii="Times New Roman" w:hAnsi="Times New Roman"/>
        </w:rPr>
        <w:t xml:space="preserve">Количество введенных в эксплуатацию жилых домов, относящихся (жилые помещения в которых относятся) к стандартному жилью»: </w:t>
      </w:r>
    </w:p>
    <w:p w14:paraId="1F000000">
      <w:pPr>
        <w:spacing w:after="120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СД</w:t>
      </w:r>
      <w:r>
        <w:rPr>
          <w:rFonts w:ascii="Times New Roman" w:hAnsi="Times New Roman"/>
          <w:b w:val="0"/>
          <w:sz w:val="24"/>
        </w:rPr>
        <w:t>гппз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8"/>
        </w:rPr>
        <w:t>= 2 / 1 = 2</w:t>
      </w:r>
    </w:p>
    <w:p w14:paraId="20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21000000">
      <w:pPr>
        <w:pStyle w:val="Style_1"/>
        <w:ind w:hanging="850" w:left="1559"/>
        <w:jc w:val="both"/>
        <w:rPr>
          <w:rFonts w:ascii="Times New Roman" w:hAnsi="Times New Roman"/>
          <w:b w:val="0"/>
          <w:sz w:val="28"/>
          <w:vertAlign w:val="baseline"/>
        </w:rPr>
      </w:pPr>
      <w:r>
        <w:rPr>
          <w:rFonts w:ascii="Times New Roman" w:hAnsi="Times New Roman"/>
          <w:b w:val="0"/>
          <w:sz w:val="28"/>
        </w:rPr>
        <w:t>СР</w:t>
      </w:r>
      <w:r>
        <w:rPr>
          <w:rFonts w:ascii="Times New Roman" w:hAnsi="Times New Roman"/>
          <w:b w:val="0"/>
          <w:sz w:val="24"/>
        </w:rPr>
        <w:t>гп</w:t>
      </w:r>
      <w:r>
        <w:rPr>
          <w:rFonts w:ascii="Times New Roman" w:hAnsi="Times New Roman"/>
          <w:b w:val="0"/>
          <w:sz w:val="28"/>
          <w:vertAlign w:val="baseline"/>
        </w:rPr>
        <w:t xml:space="preserve"> = </w:t>
      </w:r>
      <w:r>
        <w:rPr>
          <w:rFonts w:ascii="Times New Roman" w:hAnsi="Times New Roman"/>
          <w:b w:val="0"/>
          <w:sz w:val="28"/>
          <w:vertAlign w:val="baseline"/>
        </w:rPr>
        <w:t>(1+1) / 2 = 1,00</w:t>
      </w:r>
    </w:p>
    <w:p w14:paraId="22000000">
      <w:pPr>
        <w:pStyle w:val="Style_1"/>
        <w:ind w:hanging="850" w:left="1559"/>
        <w:jc w:val="both"/>
        <w:rPr>
          <w:rFonts w:ascii="Times New Roman" w:hAnsi="Times New Roman"/>
          <w:b w:val="0"/>
          <w:sz w:val="28"/>
          <w:vertAlign w:val="baseline"/>
        </w:rPr>
      </w:pPr>
    </w:p>
    <w:p w14:paraId="23000000">
      <w:pPr>
        <w:ind w:firstLine="720" w:left="0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При расчете степени достижения </w:t>
      </w:r>
      <w:r>
        <w:rPr>
          <w:rFonts w:ascii="Times New Roman" w:hAnsi="Times New Roman"/>
          <w:sz w:val="28"/>
        </w:rPr>
        <w:t>целей и задач Программы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sz w:val="28"/>
        </w:rPr>
        <w:t>учитыва</w:t>
      </w:r>
      <w:r>
        <w:rPr>
          <w:rFonts w:ascii="Times New Roman" w:hAnsi="Times New Roman"/>
          <w:sz w:val="28"/>
        </w:rPr>
        <w:t>ется</w:t>
      </w:r>
      <w:r>
        <w:rPr>
          <w:rFonts w:ascii="Times New Roman" w:hAnsi="Times New Roman"/>
          <w:sz w:val="28"/>
        </w:rPr>
        <w:t xml:space="preserve"> степень достижения индикаторов иных государственных программ Камчатского края, оказывающих влияние на достижение целей и решение задач государственной программы, в том числе:</w:t>
      </w:r>
    </w:p>
    <w:p w14:paraId="24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«Развитие здравоохранения Камчатского края» – 0,96;</w:t>
      </w:r>
    </w:p>
    <w:p w14:paraId="25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«Развитие образования в Камчатском крае» – 0,97;</w:t>
      </w:r>
    </w:p>
    <w:p w14:paraId="26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«Развитие культуры в Камчатском крае» – 0,96;</w:t>
      </w:r>
    </w:p>
    <w:p w14:paraId="27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Социальная поддержка граждан в Камчатском крае» – 0,98;</w:t>
      </w:r>
    </w:p>
    <w:p w14:paraId="28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«Содействие занятости населения Камчатского края» – 0,91;</w:t>
      </w:r>
    </w:p>
    <w:p w14:paraId="29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Развитие экономики и внешнеэкономической деятельности Камчатского края» – 0,99;</w:t>
      </w:r>
    </w:p>
    <w:p w14:paraId="2A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Развитие сельского хозяйства и регулирование рынков сельскохозяйственной продукции, сырья и продовольствия Камчатского края» – 0,94;</w:t>
      </w:r>
    </w:p>
    <w:p w14:paraId="2B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Энергоэффективность,  развитие энергетики и коммунального хозяйства, обеспечение жителей населенных пунктов  Камчатского края коммунальными услугами» – 0,71;</w:t>
      </w:r>
    </w:p>
    <w:p w14:paraId="2C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Реализация государственной национальной политики и укрепление гражданского единства в Камчатском крае» – 0,99;</w:t>
      </w:r>
    </w:p>
    <w:p w14:paraId="2D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Цифровая трансформация в Камчатском крае» – 0,87;</w:t>
      </w:r>
    </w:p>
    <w:p w14:paraId="2E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«У</w:t>
      </w:r>
      <w:r>
        <w:rPr>
          <w:rFonts w:ascii="Times New Roman" w:hAnsi="Times New Roman"/>
        </w:rPr>
        <w:t>правление государственными финансами Камчатского края» – 0,88;</w:t>
      </w:r>
    </w:p>
    <w:p w14:paraId="2F000000">
      <w:pPr>
        <w:numPr>
          <w:numId w:val="6"/>
        </w:num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Обращение с отходами производства и потребления в Камчатском крае"» – 0,89.</w:t>
      </w:r>
    </w:p>
    <w:p w14:paraId="30000000">
      <w:pPr>
        <w:ind w:firstLine="720" w:left="0"/>
        <w:contextualSpacing w:val="1"/>
        <w:jc w:val="both"/>
        <w:rPr>
          <w:rFonts w:ascii="Times New Roman" w:hAnsi="Times New Roman"/>
          <w:b w:val="0"/>
          <w:sz w:val="28"/>
        </w:rPr>
      </w:pPr>
    </w:p>
    <w:p w14:paraId="31000000">
      <w:pPr>
        <w:ind w:firstLine="72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Степень реализации</w:t>
      </w:r>
      <w:r>
        <w:rPr>
          <w:rFonts w:ascii="Times New Roman" w:hAnsi="Times New Roman"/>
        </w:rPr>
        <w:t xml:space="preserve"> Программы</w:t>
      </w:r>
      <w:r>
        <w:rPr>
          <w:rFonts w:ascii="Times New Roman" w:hAnsi="Times New Roman"/>
          <w:sz w:val="28"/>
        </w:rPr>
        <w:t xml:space="preserve"> с учетом иных государственных программ Камчатского края, оказывающих влияние на достижение целей и решение задач Программы:</w:t>
      </w:r>
    </w:p>
    <w:p w14:paraId="32000000">
      <w:pPr>
        <w:ind w:firstLine="720" w:left="0"/>
        <w:contextualSpacing w:val="1"/>
        <w:jc w:val="both"/>
        <w:rPr>
          <w:rFonts w:ascii="Times New Roman" w:hAnsi="Times New Roman"/>
          <w:sz w:val="28"/>
        </w:rPr>
      </w:pPr>
    </w:p>
    <w:p w14:paraId="33000000">
      <w:pPr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СР</w:t>
      </w:r>
      <w:r>
        <w:rPr>
          <w:rFonts w:ascii="Times New Roman" w:hAnsi="Times New Roman"/>
          <w:b w:val="0"/>
          <w:sz w:val="24"/>
        </w:rPr>
        <w:t xml:space="preserve">гп </w:t>
      </w:r>
      <w:r>
        <w:rPr>
          <w:rFonts w:ascii="Times New Roman" w:hAnsi="Times New Roman"/>
          <w:b w:val="0"/>
          <w:sz w:val="28"/>
        </w:rPr>
        <w:t>=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1,00+</w:t>
      </w:r>
      <w:r>
        <w:rPr>
          <w:rFonts w:ascii="Times New Roman" w:hAnsi="Times New Roman"/>
          <w:sz w:val="28"/>
        </w:rPr>
        <w:t>0,96+0,97+0,96+</w:t>
      </w:r>
      <w:r>
        <w:rPr>
          <w:rFonts w:ascii="Times New Roman" w:hAnsi="Times New Roman"/>
          <w:sz w:val="28"/>
        </w:rPr>
        <w:t>0,98+0,91+0,99+0,94+0,71+0,99+0,87+0,88+0,89</w:t>
      </w:r>
      <w:r>
        <w:rPr>
          <w:rFonts w:ascii="Times New Roman" w:hAnsi="Times New Roman"/>
          <w:sz w:val="28"/>
        </w:rPr>
        <w:t xml:space="preserve">) / 13 </w:t>
      </w:r>
      <w:r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0,93</w:t>
      </w:r>
    </w:p>
    <w:p w14:paraId="34000000">
      <w:pPr>
        <w:pStyle w:val="Style_1"/>
        <w:ind w:hanging="850" w:left="1559"/>
        <w:jc w:val="both"/>
        <w:rPr>
          <w:rFonts w:ascii="Times New Roman" w:hAnsi="Times New Roman"/>
          <w:b w:val="0"/>
          <w:sz w:val="28"/>
          <w:vertAlign w:val="baseline"/>
        </w:rPr>
      </w:pPr>
    </w:p>
    <w:p w14:paraId="35000000">
      <w:pPr>
        <w:pStyle w:val="Style_1"/>
        <w:ind w:firstLine="709" w:left="0"/>
        <w:jc w:val="both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>Оценка степени соответствия запланированному уровню затрат.</w:t>
      </w:r>
    </w:p>
    <w:p w14:paraId="36000000">
      <w:pPr>
        <w:pStyle w:val="Style_1"/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37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ССуз = Зф / (Зп-Ззас)</w:t>
      </w:r>
    </w:p>
    <w:p w14:paraId="38000000">
      <w:pPr>
        <w:ind w:firstLine="0"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39000000">
      <w:pPr>
        <w:ind w:firstLine="540" w:left="0"/>
        <w:jc w:val="both"/>
        <w:rPr>
          <w:rFonts w:ascii="Times New Roman" w:hAnsi="Times New Roman"/>
        </w:rPr>
      </w:pPr>
    </w:p>
    <w:p w14:paraId="3A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sz w:val="24"/>
        </w:rPr>
        <w:t>уз</w:t>
      </w:r>
      <w:r>
        <w:rPr>
          <w:rFonts w:ascii="Times New Roman" w:hAnsi="Times New Roman"/>
        </w:rPr>
        <w:t xml:space="preserve"> – степень соответствия запланированному уровню расходов;</w:t>
      </w:r>
    </w:p>
    <w:p w14:paraId="3B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</w:rPr>
        <w:t xml:space="preserve"> – фактические расходы краевого бюджета на реализацию государственной программы в отчетном году;</w:t>
      </w:r>
    </w:p>
    <w:p w14:paraId="3C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</w:rPr>
        <w:t xml:space="preserve"> – плановые расходы краевого бюджета на реализацию государственной программы в отчетном году;</w:t>
      </w:r>
    </w:p>
    <w:p w14:paraId="3D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>
        <w:rPr>
          <w:rFonts w:ascii="Times New Roman" w:hAnsi="Times New Roman"/>
          <w:sz w:val="24"/>
        </w:rPr>
        <w:t>зас</w:t>
      </w:r>
      <w:r>
        <w:rPr>
          <w:rFonts w:ascii="Times New Roman" w:hAnsi="Times New Roman"/>
        </w:rPr>
        <w:t xml:space="preserve"> – фактические объемы средств резервных фондов и резервы ассигнований краевого бюджета, созданные в соответствии с законодательством Российской Федерации и Камчатского края.</w:t>
      </w:r>
    </w:p>
    <w:p w14:paraId="3E000000">
      <w:pPr>
        <w:ind w:firstLine="540" w:left="0"/>
        <w:jc w:val="both"/>
        <w:rPr>
          <w:rFonts w:ascii="Times New Roman" w:hAnsi="Times New Roman"/>
        </w:rPr>
      </w:pPr>
    </w:p>
    <w:p w14:paraId="3F000000">
      <w:pPr>
        <w:pStyle w:val="Style_1"/>
        <w:ind w:firstLine="709" w:lef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sz w:val="24"/>
        </w:rPr>
        <w:t>уз</w:t>
      </w:r>
      <w:r>
        <w:rPr>
          <w:rFonts w:ascii="Times New Roman" w:hAnsi="Times New Roman"/>
        </w:rPr>
        <w:t xml:space="preserve"> = 13 348 533,13328 / 13 370 063,78394 = 1,00</w:t>
      </w:r>
    </w:p>
    <w:p w14:paraId="40000000">
      <w:pPr>
        <w:pStyle w:val="Style_1"/>
        <w:ind w:firstLine="709" w:left="0"/>
        <w:jc w:val="center"/>
        <w:rPr>
          <w:rFonts w:ascii="Times New Roman" w:hAnsi="Times New Roman"/>
          <w:b w:val="0"/>
          <w:sz w:val="28"/>
        </w:rPr>
      </w:pPr>
    </w:p>
    <w:p w14:paraId="41000000">
      <w:pPr>
        <w:pStyle w:val="Style_1"/>
        <w:ind w:firstLine="709" w:left="0"/>
        <w:jc w:val="both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>Степень реализации контрольных событий.</w:t>
      </w:r>
    </w:p>
    <w:p w14:paraId="4200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Степень реализации контрольных событий плана реализации государственной программы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14:paraId="43000000">
      <w:pPr>
        <w:rPr>
          <w:rFonts w:ascii="Times New Roman" w:hAnsi="Times New Roman"/>
        </w:rPr>
      </w:pPr>
    </w:p>
    <w:p w14:paraId="44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СРкс = КСв / КС</w:t>
      </w:r>
    </w:p>
    <w:p w14:paraId="45000000">
      <w:p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46000000">
      <w:pPr>
        <w:rPr>
          <w:rFonts w:ascii="Times New Roman" w:hAnsi="Times New Roman"/>
        </w:rPr>
      </w:pPr>
    </w:p>
    <w:p w14:paraId="4700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sz w:val="24"/>
        </w:rPr>
        <w:t>кс</w:t>
      </w:r>
      <w:r>
        <w:rPr>
          <w:rFonts w:ascii="Times New Roman" w:hAnsi="Times New Roman"/>
        </w:rPr>
        <w:t xml:space="preserve"> – степень реализации контрольных событий;</w:t>
      </w:r>
    </w:p>
    <w:p w14:paraId="4800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КС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</w:rPr>
        <w:t xml:space="preserve"> – количество выполненных контрольных событий из числа контрольных событий, запланированных к реализации в отчетном году;</w:t>
      </w:r>
    </w:p>
    <w:p w14:paraId="49000000">
      <w:pPr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КС – общее количество контрольных событий, запланированных к реализации в отчетном году.</w:t>
      </w:r>
    </w:p>
    <w:p w14:paraId="4A000000">
      <w:pPr>
        <w:ind w:firstLine="709"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СРкс = 43 / 46</w:t>
      </w:r>
      <w:r>
        <w:rPr>
          <w:rFonts w:ascii="Times New Roman" w:hAnsi="Times New Roman"/>
        </w:rPr>
        <w:t xml:space="preserve"> = 0,93</w:t>
      </w:r>
    </w:p>
    <w:p w14:paraId="4B000000">
      <w:pPr>
        <w:ind w:firstLine="709" w:left="0"/>
        <w:jc w:val="center"/>
        <w:rPr>
          <w:rFonts w:ascii="Times New Roman" w:hAnsi="Times New Roman"/>
        </w:rPr>
      </w:pPr>
    </w:p>
    <w:p w14:paraId="4C000000">
      <w:pPr>
        <w:widowControl w:val="0"/>
        <w:ind w:firstLine="709" w:left="0"/>
        <w:jc w:val="both"/>
        <w:rPr>
          <w:rFonts w:ascii="Times New Roman" w:hAnsi="Times New Roman"/>
          <w:b w:val="0"/>
          <w:i w:val="1"/>
        </w:rPr>
      </w:pPr>
      <w:r>
        <w:rPr>
          <w:rFonts w:ascii="Times New Roman" w:hAnsi="Times New Roman"/>
          <w:b w:val="0"/>
          <w:i w:val="1"/>
        </w:rPr>
        <w:t>Оценка эффективности реализации государственной программы.</w:t>
      </w:r>
    </w:p>
    <w:p w14:paraId="4D000000">
      <w:pPr>
        <w:widowControl w:val="0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Эффективность реализации Программы</w:t>
      </w:r>
      <w:r>
        <w:rPr>
          <w:rFonts w:ascii="Times New Roman" w:hAnsi="Times New Roman"/>
          <w:b w:val="0"/>
        </w:rPr>
        <w:t xml:space="preserve"> оце</w:t>
      </w:r>
      <w:r>
        <w:rPr>
          <w:rFonts w:ascii="Times New Roman" w:hAnsi="Times New Roman"/>
        </w:rPr>
        <w:t xml:space="preserve">нивается в зависимости от значений степени достижения целей и решения задач государственной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 </w:t>
      </w:r>
    </w:p>
    <w:p w14:paraId="4E000000">
      <w:pPr>
        <w:widowControl w:val="0"/>
        <w:ind w:firstLine="709" w:left="0"/>
        <w:jc w:val="both"/>
        <w:rPr>
          <w:rFonts w:ascii="Times New Roman" w:hAnsi="Times New Roman"/>
        </w:rPr>
      </w:pPr>
    </w:p>
    <w:p w14:paraId="4F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= (СР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+ СС</w:t>
      </w:r>
      <w:r>
        <w:rPr>
          <w:rFonts w:ascii="Times New Roman" w:hAnsi="Times New Roman"/>
          <w:vertAlign w:val="subscript"/>
        </w:rPr>
        <w:t>уз</w:t>
      </w:r>
      <w:r>
        <w:rPr>
          <w:rFonts w:ascii="Times New Roman" w:hAnsi="Times New Roman"/>
        </w:rPr>
        <w:t xml:space="preserve"> + СР</w:t>
      </w:r>
      <w:r>
        <w:rPr>
          <w:rFonts w:ascii="Times New Roman" w:hAnsi="Times New Roman"/>
          <w:vertAlign w:val="subscript"/>
        </w:rPr>
        <w:t xml:space="preserve">кс </w:t>
      </w:r>
      <w:r>
        <w:rPr>
          <w:rFonts w:ascii="Times New Roman" w:hAnsi="Times New Roman"/>
        </w:rPr>
        <w:t>) / 3</w:t>
      </w:r>
    </w:p>
    <w:p w14:paraId="50000000">
      <w:pPr>
        <w:rPr>
          <w:rFonts w:ascii="Times New Roman" w:hAnsi="Times New Roman"/>
        </w:rPr>
      </w:pPr>
    </w:p>
    <w:p w14:paraId="51000000">
      <w:pPr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 w14:paraId="52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– эффективность реализации государственной программы;</w:t>
      </w:r>
    </w:p>
    <w:p w14:paraId="53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</w:t>
      </w:r>
      <w:r>
        <w:rPr>
          <w:rFonts w:ascii="Times New Roman" w:hAnsi="Times New Roman"/>
          <w:vertAlign w:val="subscript"/>
        </w:rPr>
        <w:t>гп</w:t>
      </w:r>
      <w:r>
        <w:rPr>
          <w:rFonts w:ascii="Times New Roman" w:hAnsi="Times New Roman"/>
        </w:rPr>
        <w:t xml:space="preserve"> – степень реализации государственной программы;</w:t>
      </w:r>
    </w:p>
    <w:p w14:paraId="54000000">
      <w:pPr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</w:t>
      </w:r>
      <w:r>
        <w:rPr>
          <w:rFonts w:ascii="Times New Roman" w:hAnsi="Times New Roman"/>
          <w:vertAlign w:val="subscript"/>
        </w:rPr>
        <w:t>уз</w:t>
      </w:r>
      <w:r>
        <w:rPr>
          <w:rFonts w:ascii="Times New Roman" w:hAnsi="Times New Roman"/>
        </w:rPr>
        <w:t xml:space="preserve"> – степень соответствия запланированному уровню расходов госу;</w:t>
      </w:r>
    </w:p>
    <w:p w14:paraId="5500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</w:p>
    <w:p w14:paraId="56000000">
      <w:pPr>
        <w:pStyle w:val="Style_1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Значение показателя эффективности реализации составляет </w:t>
      </w:r>
      <w:r>
        <w:rPr>
          <w:rFonts w:ascii="Times New Roman" w:hAnsi="Times New Roman"/>
          <w:b w:val="0"/>
          <w:sz w:val="28"/>
        </w:rPr>
        <w:t>0,9</w:t>
      </w:r>
      <w:r>
        <w:rPr>
          <w:rFonts w:ascii="Times New Roman" w:hAnsi="Times New Roman"/>
          <w:b w:val="0"/>
          <w:sz w:val="28"/>
        </w:rPr>
        <w:t>5</w:t>
      </w:r>
      <w:r>
        <w:rPr>
          <w:rFonts w:ascii="Times New Roman" w:hAnsi="Times New Roman"/>
          <w:sz w:val="28"/>
        </w:rPr>
        <w:t xml:space="preserve"> и рассчитан следующим образом:</w:t>
      </w:r>
    </w:p>
    <w:p w14:paraId="5700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</w:p>
    <w:p w14:paraId="5800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</w:rPr>
        <w:t>ЭР</w:t>
      </w:r>
      <w:r>
        <w:rPr>
          <w:rFonts w:ascii="Times New Roman" w:hAnsi="Times New Roman"/>
          <w:sz w:val="24"/>
        </w:rPr>
        <w:t>гп</w:t>
      </w:r>
      <w:r>
        <w:rPr>
          <w:rFonts w:ascii="Times New Roman" w:hAnsi="Times New Roman"/>
        </w:rPr>
        <w:t xml:space="preserve"> = (0,93 + 1,00 </w:t>
      </w:r>
      <w:r>
        <w:rPr>
          <w:rFonts w:ascii="Times New Roman" w:hAnsi="Times New Roman"/>
          <w:b w:val="0"/>
          <w:sz w:val="28"/>
        </w:rPr>
        <w:t>+ 0,93) / 3 = 0,95</w:t>
      </w:r>
    </w:p>
    <w:p w14:paraId="59000000">
      <w:pPr>
        <w:pStyle w:val="Style_1"/>
        <w:ind w:firstLine="0" w:left="0"/>
        <w:jc w:val="center"/>
        <w:rPr>
          <w:rFonts w:ascii="Times New Roman" w:hAnsi="Times New Roman"/>
          <w:b w:val="0"/>
          <w:sz w:val="28"/>
        </w:rPr>
      </w:pPr>
    </w:p>
    <w:p w14:paraId="5A000000">
      <w:pPr>
        <w:pStyle w:val="Style_1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Таким образом, эффективность П</w:t>
      </w:r>
      <w:r>
        <w:rPr>
          <w:rFonts w:ascii="Times New Roman" w:hAnsi="Times New Roman"/>
          <w:sz w:val="28"/>
        </w:rPr>
        <w:t xml:space="preserve">рограммы </w:t>
      </w:r>
      <w:r>
        <w:rPr>
          <w:rFonts w:ascii="Times New Roman" w:hAnsi="Times New Roman"/>
          <w:sz w:val="28"/>
        </w:rPr>
        <w:t xml:space="preserve"> по итогам ее реализации в 2023 году определена как «высокая»</w:t>
      </w:r>
      <w:r>
        <w:rPr>
          <w:rFonts w:ascii="Times New Roman" w:hAnsi="Times New Roman"/>
        </w:rPr>
        <w:t>.</w:t>
      </w:r>
    </w:p>
    <w:sectPr>
      <w:footerReference r:id="rId1" w:type="default"/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pPr>
        <w:ind w:hanging="360" w:left="720"/>
      </w:pPr>
    </w:lvl>
    <w:lvl w:ilvl="1">
      <w:start w:val="1"/>
      <w:numFmt w:val="russianLower"/>
      <w:lvlText w:val="%2)"/>
      <w:pPr>
        <w:ind w:hanging="360" w:left="1440"/>
      </w:pPr>
    </w:lvl>
    <w:lvl w:ilvl="2">
      <w:start w:val="1"/>
      <w:numFmt w:val="lowerRoman"/>
      <w:lvlText w:val="%3)"/>
      <w:lvlJc w:val="right"/>
      <w:pPr>
        <w:ind w:hanging="360" w:left="2160"/>
      </w:pPr>
    </w:lvl>
    <w:lvl w:ilvl="3">
      <w:start w:val="1"/>
      <w:numFmt w:val="decimal"/>
      <w:lvlText w:val="%4)"/>
      <w:pPr>
        <w:ind w:hanging="360" w:left="2880"/>
      </w:pPr>
    </w:lvl>
    <w:lvl w:ilvl="4">
      <w:start w:val="1"/>
      <w:numFmt w:val="russianLower"/>
      <w:lvlText w:val="%5)"/>
      <w:pPr>
        <w:ind w:hanging="360" w:left="3600"/>
      </w:pPr>
    </w:lvl>
    <w:lvl w:ilvl="5">
      <w:start w:val="1"/>
      <w:numFmt w:val="lowerRoman"/>
      <w:lvlText w:val="%6)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russianLow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png" Type="http://schemas.openxmlformats.org/officeDocument/2006/relationships/imag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2024-03-27T22:34:26Z</dcterms:modified>
</cp:coreProperties>
</file>